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8C2C8F" w:rsidRPr="008C2C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</w:t>
            </w:r>
            <w:r w:rsidR="008C2C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8C2C8F" w:rsidRPr="008C2C8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 детального планування території щодо зміни цільового призначення земельних ділянок площею 0,1807 га (кадастровий номер 2610400000:10:004:0104), площею 0,0321 га (кадастровий номер 2610400000:10:004:0080) та площею 0,0179 га (кадастровий номер 2610400000:10:004:0079) для будівництва багатоквартирного житлового будинку з комерційними приміщеннями на вул. Олени Пчілки,57 в м. Калуші</w:t>
            </w:r>
            <w:r w:rsidR="0067418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 (к</w:t>
            </w:r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адастровий номер – </w:t>
            </w:r>
            <w:r w:rsidR="00045F6E" w:rsidRPr="00B67B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2610400000:10</w:t>
            </w:r>
            <w:r w:rsidRPr="00B67B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:004:0</w:t>
            </w:r>
            <w:r w:rsidR="00045F6E" w:rsidRPr="00B67B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>1807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 Івано-Франківській області, м. Калуш, вул. </w:t>
            </w:r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>О. Пчілки,57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оренді </w:t>
            </w:r>
            <w:proofErr w:type="spellStart"/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>Присяжнюка</w:t>
            </w:r>
            <w:proofErr w:type="spellEnd"/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Леоніда Григоровича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FEE" w:rsidRP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</w:t>
            </w:r>
            <w:r w:rsidR="00045F6E">
              <w:rPr>
                <w:rFonts w:ascii="Times New Roman" w:hAnsi="Times New Roman"/>
                <w:sz w:val="28"/>
                <w:szCs w:val="28"/>
                <w:lang w:val="uk-UA"/>
              </w:rPr>
              <w:t>02.01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Для будівництва </w:t>
            </w:r>
            <w:r w:rsid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обслуговування </w:t>
            </w:r>
            <w:r w:rsid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житлового будинку, господарських будівель і споруд (присадибна ділянка)</w:t>
            </w:r>
            <w:r w:rsidRPr="00B92FE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земель – землі </w:t>
            </w:r>
            <w:r w:rsidR="00B67B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житлової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 забудови.</w:t>
            </w:r>
          </w:p>
          <w:p w:rsidR="00B67B47" w:rsidRDefault="00B67B47" w:rsidP="00B67B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(кадастровий номер – </w:t>
            </w:r>
            <w:r w:rsidRPr="00B67B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2610400000:10:004:0080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0,0321 га розташована в Івано-Франківській області, м. Калуш, вул. О. Пчілки,57 та 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Присяжнюка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Леоніда Григоровича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67B47" w:rsidRPr="00B92FEE" w:rsidRDefault="00B67B47" w:rsidP="00B67B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02.01 </w:t>
            </w:r>
            <w:r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Для будівництва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житлового будинку, господарських будівель і споруд (присадибна ділянка)</w:t>
            </w:r>
            <w:r w:rsidRPr="00B92FE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67B47" w:rsidRDefault="00B67B47" w:rsidP="00B67B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земель – землі житлової та громадської забудови.</w:t>
            </w:r>
          </w:p>
          <w:p w:rsidR="00B67B47" w:rsidRDefault="00B67B47" w:rsidP="00B67B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67B47" w:rsidRDefault="00B67B47" w:rsidP="00B67B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(кадастровий номер – </w:t>
            </w:r>
            <w:r w:rsidRPr="00B67B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2610400000:10:004:0</w:t>
            </w:r>
            <w:r w:rsidR="000767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0,0</w:t>
            </w:r>
            <w:r w:rsidR="0007671C">
              <w:rPr>
                <w:rFonts w:ascii="Times New Roman" w:hAnsi="Times New Roman"/>
                <w:sz w:val="28"/>
                <w:szCs w:val="28"/>
                <w:lang w:val="uk-UA"/>
              </w:rPr>
              <w:t>179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 Івано-Франківській області, м. Калуш, вул. О. Пчілки,57 та 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Присяжнюка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Леоніда Григоровича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67B47" w:rsidRPr="00B92FEE" w:rsidRDefault="00B67B47" w:rsidP="00B67B4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02.01 </w:t>
            </w:r>
            <w:r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Для будівництва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житлового будинку, господарських будівель і споруд (присадибна ділянка)</w:t>
            </w:r>
            <w:r w:rsidRPr="00B92FE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67B47" w:rsidRDefault="00B67B47" w:rsidP="000767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земель – землі житлової та </w:t>
            </w:r>
            <w:r w:rsidR="0007671C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 забудови.</w:t>
            </w:r>
          </w:p>
          <w:p w:rsidR="00B92FEE" w:rsidRDefault="0007671C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Ділянки межують з землями міської ради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незначним перепадом висот.</w:t>
            </w: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994AAC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До ділянки  використовується</w:t>
            </w:r>
            <w:r w:rsidR="00E50F84"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07671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01AC0" w:rsidRPr="005A589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767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Пчілки.</w:t>
            </w: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земельну ділянку: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B0181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B01814">
              <w:rPr>
                <w:rFonts w:ascii="Times New Roman" w:hAnsi="Times New Roman"/>
                <w:sz w:val="28"/>
                <w:szCs w:val="28"/>
                <w:lang w:val="uk-UA"/>
              </w:rPr>
              <w:t>побутової – 3м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B0181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B0181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охопленій проектом детального плану території </w:t>
            </w:r>
            <w:r w:rsidR="0008458F"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B01814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багатоквартирного житлового будинку з комерційними приміщеннями</w:t>
            </w:r>
            <w:r w:rsidR="0008458F" w:rsidRPr="0059613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ED5B61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B61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Водопостачання: від</w:t>
            </w:r>
            <w:r w:rsidR="00596135" w:rsidRPr="00ED5B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D5B61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Pr="0005302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30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 Проектний план (генплан)</w:t>
            </w:r>
          </w:p>
          <w:p w:rsidR="00A605AC" w:rsidRPr="000F1700" w:rsidRDefault="00FC29E6" w:rsidP="0005302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топографічною зйомкою території </w:t>
            </w:r>
            <w:r w:rsidR="00B73C1C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B01814">
              <w:rPr>
                <w:rFonts w:ascii="Times New Roman" w:hAnsi="Times New Roman"/>
                <w:sz w:val="28"/>
                <w:szCs w:val="28"/>
                <w:lang w:val="uk-UA"/>
              </w:rPr>
              <w:t>О. Пчілки</w:t>
            </w:r>
            <w:r w:rsidR="004F33A9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Проектом </w:t>
            </w:r>
            <w:r w:rsidR="00B73C1C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передбачено</w:t>
            </w:r>
            <w:r w:rsidR="0008458F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1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зміну цільового призначення земельних ділянок (існуюче цільове призначення – 02.01 </w:t>
            </w:r>
            <w:r w:rsidR="000F1700"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Для будівництва </w:t>
            </w:r>
            <w:r w:rsidR="000F170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0F1700" w:rsidRPr="00045F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обслуговування </w:t>
            </w:r>
            <w:r w:rsidR="000F170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житлового будинку, господарських будівель і споруд (присадибна ділянка)</w:t>
            </w:r>
            <w:r w:rsidR="000F17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02.10 </w:t>
            </w:r>
            <w:r w:rsidR="000F1700" w:rsidRPr="000F170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0F170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, та будівництво 8-поверхового багатоквартирного житлового будинку з приміщеннями комерційного призначення. Також пропонується влаштування проїзду до внутрішнього двору, влаштування дитячого майданчику, автомобільних стоянок на 23 (для жителів житлового будинку) та 5 (для комерційних приміщень) місць</w:t>
            </w:r>
            <w:r w:rsidR="0065179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( не менше 5% машино-місць на автостоянках слід обладнувати зарядками для електромобілів та 10% на інвалідів). Існуючий </w:t>
            </w:r>
            <w:proofErr w:type="spellStart"/>
            <w:r w:rsidR="0065179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мусорник</w:t>
            </w:r>
            <w:proofErr w:type="spellEnd"/>
            <w:r w:rsidR="0065179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пропонується перенести на нормативну відстань (20 м) від вікон та дверей існуючого та проектного будинків.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517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земельн</w:t>
            </w:r>
            <w:r w:rsidR="00651798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651798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0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51798">
              <w:rPr>
                <w:rFonts w:ascii="Times New Roman" w:hAnsi="Times New Roman"/>
                <w:sz w:val="28"/>
                <w:szCs w:val="28"/>
                <w:lang w:val="uk-UA"/>
              </w:rPr>
              <w:t>1807</w:t>
            </w:r>
            <w:r w:rsidR="00FC29E6"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651798">
              <w:rPr>
                <w:rFonts w:ascii="Times New Roman" w:hAnsi="Times New Roman"/>
                <w:sz w:val="28"/>
                <w:szCs w:val="28"/>
                <w:lang w:val="uk-UA"/>
              </w:rPr>
              <w:t>, 0,0321 га, 0,0179 га</w:t>
            </w:r>
            <w:r w:rsidR="00FC29E6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867815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8118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C29E6" w:rsidRPr="009C745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81180A">
              <w:rPr>
                <w:rFonts w:ascii="Times New Roman" w:hAnsi="Times New Roman"/>
                <w:sz w:val="28"/>
                <w:szCs w:val="28"/>
                <w:lang w:val="uk-UA"/>
              </w:rPr>
              <w:t>932,3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</w:t>
            </w:r>
            <w:r w:rsidR="008118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781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1180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Default="00A605AC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</w:t>
            </w:r>
            <w:r w:rsidR="0081180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</w:t>
      </w:r>
      <w:proofErr w:type="gram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123376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  <w:r w:rsidR="00274F63">
              <w:rPr>
                <w:rFonts w:ascii="Arial" w:eastAsia="Times New Roman" w:hAnsi="Arial" w:cs="Arial"/>
                <w:color w:val="000000"/>
                <w:lang w:val="uk-UA" w:eastAsia="ru-RU"/>
              </w:rPr>
              <w:t>,</w:t>
            </w:r>
            <w:r w:rsidR="00867815">
              <w:rPr>
                <w:rFonts w:ascii="Arial" w:eastAsia="Times New Roman" w:hAnsi="Arial" w:cs="Arial"/>
                <w:color w:val="000000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8678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23376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23376" w:rsidRDefault="0012337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5E096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5E096F">
              <w:rPr>
                <w:rFonts w:ascii="Arial" w:eastAsia="Times New Roman" w:hAnsi="Arial" w:cs="Arial"/>
                <w:color w:val="000000"/>
                <w:lang w:val="uk-UA"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районного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наземного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5E096F" w:rsidRDefault="005E096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2D0BF2" w:rsidRDefault="005E096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  <w:r w:rsidR="002D0BF2"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количество квартир, что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оборудованы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тому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63CC7" w:rsidRDefault="00163CC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45F6E"/>
    <w:rsid w:val="00053026"/>
    <w:rsid w:val="00070348"/>
    <w:rsid w:val="0007671C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0F1700"/>
    <w:rsid w:val="00123376"/>
    <w:rsid w:val="0013212E"/>
    <w:rsid w:val="00147982"/>
    <w:rsid w:val="00156DF0"/>
    <w:rsid w:val="00163784"/>
    <w:rsid w:val="00163CC7"/>
    <w:rsid w:val="00175AE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D0BF2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96135"/>
    <w:rsid w:val="005A5899"/>
    <w:rsid w:val="005B3A02"/>
    <w:rsid w:val="005C128F"/>
    <w:rsid w:val="005C7C9B"/>
    <w:rsid w:val="005E096F"/>
    <w:rsid w:val="005F4C37"/>
    <w:rsid w:val="0060003C"/>
    <w:rsid w:val="0060263A"/>
    <w:rsid w:val="00610A56"/>
    <w:rsid w:val="00647778"/>
    <w:rsid w:val="0065179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F1DC9"/>
    <w:rsid w:val="00702295"/>
    <w:rsid w:val="00775CD1"/>
    <w:rsid w:val="007C54B4"/>
    <w:rsid w:val="007F068C"/>
    <w:rsid w:val="007F6D79"/>
    <w:rsid w:val="00800ADB"/>
    <w:rsid w:val="00803501"/>
    <w:rsid w:val="008076F6"/>
    <w:rsid w:val="0081180A"/>
    <w:rsid w:val="00821542"/>
    <w:rsid w:val="00835156"/>
    <w:rsid w:val="00864036"/>
    <w:rsid w:val="008645BA"/>
    <w:rsid w:val="00867815"/>
    <w:rsid w:val="008771ED"/>
    <w:rsid w:val="00882CF6"/>
    <w:rsid w:val="008910BD"/>
    <w:rsid w:val="008A614C"/>
    <w:rsid w:val="008C2C8F"/>
    <w:rsid w:val="008D0EB4"/>
    <w:rsid w:val="008D1BE9"/>
    <w:rsid w:val="008E6EFA"/>
    <w:rsid w:val="009016E4"/>
    <w:rsid w:val="009051DB"/>
    <w:rsid w:val="00905C13"/>
    <w:rsid w:val="00930EFF"/>
    <w:rsid w:val="00932A06"/>
    <w:rsid w:val="00937D0F"/>
    <w:rsid w:val="00944360"/>
    <w:rsid w:val="00945583"/>
    <w:rsid w:val="00945856"/>
    <w:rsid w:val="0095515E"/>
    <w:rsid w:val="00957556"/>
    <w:rsid w:val="00972B3D"/>
    <w:rsid w:val="0098783E"/>
    <w:rsid w:val="00994AAC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01814"/>
    <w:rsid w:val="00B103F4"/>
    <w:rsid w:val="00B313E7"/>
    <w:rsid w:val="00B50EB5"/>
    <w:rsid w:val="00B67B47"/>
    <w:rsid w:val="00B73C1C"/>
    <w:rsid w:val="00B80FA4"/>
    <w:rsid w:val="00B92FEE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D5B61"/>
    <w:rsid w:val="00EE181C"/>
    <w:rsid w:val="00EF0714"/>
    <w:rsid w:val="00F04A33"/>
    <w:rsid w:val="00F21A79"/>
    <w:rsid w:val="00F21BC8"/>
    <w:rsid w:val="00F34FBE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408B-E6EB-40B5-BB7A-7EE0CE0C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6250</Words>
  <Characters>3564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39</cp:revision>
  <cp:lastPrinted>2019-09-17T08:16:00Z</cp:lastPrinted>
  <dcterms:created xsi:type="dcterms:W3CDTF">2019-11-27T13:17:00Z</dcterms:created>
  <dcterms:modified xsi:type="dcterms:W3CDTF">2021-02-05T12:56:00Z</dcterms:modified>
</cp:coreProperties>
</file>