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F44" w:rsidRDefault="00D67F44" w:rsidP="00556D3B">
      <w:pPr>
        <w:rPr>
          <w:rFonts w:ascii="Times New Roman" w:hAnsi="Times New Roman"/>
        </w:rPr>
      </w:pPr>
    </w:p>
    <w:p w:rsidR="00627C48" w:rsidRPr="00F46197" w:rsidRDefault="00627C48" w:rsidP="00627C48">
      <w:pPr>
        <w:jc w:val="right"/>
        <w:rPr>
          <w:rFonts w:ascii="Times New Roman" w:hAnsi="Times New Roman"/>
          <w:b/>
          <w:sz w:val="28"/>
          <w:szCs w:val="28"/>
        </w:rPr>
      </w:pPr>
      <w:r>
        <w:rPr>
          <w:sz w:val="28"/>
          <w:szCs w:val="28"/>
        </w:rPr>
        <w:t xml:space="preserve">                                     </w:t>
      </w:r>
      <w:r w:rsidRPr="00F46197">
        <w:rPr>
          <w:rFonts w:ascii="Times New Roman" w:hAnsi="Times New Roman"/>
          <w:b/>
          <w:sz w:val="28"/>
          <w:szCs w:val="28"/>
        </w:rPr>
        <w:t>ПРОЕКТ</w:t>
      </w:r>
    </w:p>
    <w:p w:rsidR="00627C48" w:rsidRDefault="00627C48" w:rsidP="00627C48">
      <w:pPr>
        <w:pStyle w:val="a5"/>
        <w:tabs>
          <w:tab w:val="left" w:pos="2340"/>
        </w:tabs>
        <w:spacing w:line="240" w:lineRule="auto"/>
        <w:ind w:left="180" w:firstLine="0"/>
        <w:jc w:val="center"/>
        <w:rPr>
          <w:sz w:val="28"/>
          <w:szCs w:val="28"/>
          <w:lang w:val="uk-UA"/>
        </w:rPr>
      </w:pPr>
    </w:p>
    <w:p w:rsidR="00627C48" w:rsidRDefault="004F7D55" w:rsidP="00627C48">
      <w:pPr>
        <w:pStyle w:val="a5"/>
        <w:tabs>
          <w:tab w:val="left" w:pos="2340"/>
        </w:tabs>
        <w:spacing w:line="240" w:lineRule="auto"/>
        <w:ind w:left="180" w:firstLine="0"/>
        <w:jc w:val="center"/>
        <w:rPr>
          <w:sz w:val="28"/>
          <w:szCs w:val="28"/>
          <w:lang w:val="uk-UA"/>
        </w:rPr>
      </w:pPr>
      <w:r>
        <w:rPr>
          <w:noProof/>
          <w:sz w:val="28"/>
          <w:szCs w:val="28"/>
          <w:lang w:val="uk-UA"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5.85pt;margin-top:0;width:50.7pt;height:63.15pt;z-index:-251658752" filled="t" fillcolor="#66f">
            <v:imagedata r:id="rId4" o:title=""/>
          </v:shape>
          <o:OLEObject Type="Embed" ProgID="PBrush" ShapeID="_x0000_s1028" DrawAspect="Content" ObjectID="_1808054714" r:id="rId5"/>
        </w:object>
      </w:r>
    </w:p>
    <w:p w:rsidR="00627C48" w:rsidRDefault="00627C48" w:rsidP="00627C48">
      <w:pPr>
        <w:pStyle w:val="a5"/>
        <w:tabs>
          <w:tab w:val="left" w:pos="2340"/>
        </w:tabs>
        <w:spacing w:line="240" w:lineRule="auto"/>
        <w:ind w:left="180" w:firstLine="0"/>
        <w:jc w:val="center"/>
        <w:rPr>
          <w:sz w:val="28"/>
          <w:szCs w:val="28"/>
          <w:lang w:val="uk-UA"/>
        </w:rPr>
      </w:pPr>
    </w:p>
    <w:p w:rsidR="00627C48" w:rsidRDefault="00627C48" w:rsidP="00627C48">
      <w:pPr>
        <w:pStyle w:val="a5"/>
        <w:tabs>
          <w:tab w:val="left" w:pos="2340"/>
        </w:tabs>
        <w:spacing w:line="240" w:lineRule="auto"/>
        <w:ind w:left="180" w:firstLine="0"/>
        <w:jc w:val="center"/>
        <w:rPr>
          <w:sz w:val="28"/>
          <w:szCs w:val="28"/>
          <w:lang w:val="uk-UA"/>
        </w:rPr>
      </w:pPr>
      <w:r>
        <w:rPr>
          <w:sz w:val="28"/>
          <w:szCs w:val="28"/>
          <w:lang w:val="uk-UA"/>
        </w:rPr>
        <w:t xml:space="preserve"> </w:t>
      </w:r>
    </w:p>
    <w:p w:rsidR="00627C48" w:rsidRDefault="00627C48" w:rsidP="00627C48">
      <w:pPr>
        <w:pStyle w:val="a5"/>
        <w:tabs>
          <w:tab w:val="left" w:pos="2340"/>
        </w:tabs>
        <w:spacing w:line="240" w:lineRule="auto"/>
        <w:ind w:left="180" w:firstLine="0"/>
        <w:jc w:val="center"/>
        <w:rPr>
          <w:sz w:val="28"/>
          <w:szCs w:val="28"/>
          <w:lang w:val="uk-UA"/>
        </w:rPr>
      </w:pPr>
    </w:p>
    <w:p w:rsidR="00627C48" w:rsidRDefault="00627C48" w:rsidP="00627C48">
      <w:pPr>
        <w:pStyle w:val="4"/>
        <w:tabs>
          <w:tab w:val="left" w:pos="180"/>
          <w:tab w:val="center" w:pos="4677"/>
        </w:tabs>
        <w:spacing w:before="0" w:after="0"/>
        <w:jc w:val="center"/>
        <w:rPr>
          <w:rFonts w:ascii="Tahoma" w:hAnsi="Tahoma" w:cs="Tahoma"/>
          <w:sz w:val="24"/>
        </w:rPr>
      </w:pPr>
      <w:r>
        <w:rPr>
          <w:rFonts w:ascii="Tahoma" w:hAnsi="Tahoma" w:cs="Tahoma"/>
          <w:sz w:val="24"/>
        </w:rPr>
        <w:t>УКРАЇНА</w:t>
      </w:r>
    </w:p>
    <w:p w:rsidR="00627C48" w:rsidRDefault="00627C48" w:rsidP="00627C48">
      <w:pPr>
        <w:pStyle w:val="3"/>
        <w:tabs>
          <w:tab w:val="left" w:pos="3060"/>
        </w:tabs>
        <w:jc w:val="center"/>
        <w:rPr>
          <w:rFonts w:ascii="Tahoma" w:hAnsi="Tahoma" w:cs="Tahoma"/>
          <w:sz w:val="24"/>
        </w:rPr>
      </w:pPr>
      <w:r>
        <w:rPr>
          <w:rFonts w:ascii="Tahoma" w:hAnsi="Tahoma" w:cs="Tahoma"/>
          <w:sz w:val="24"/>
        </w:rPr>
        <w:t>КАЛУСЬКА МІСЬКА РАДА</w:t>
      </w:r>
    </w:p>
    <w:p w:rsidR="00627C48" w:rsidRDefault="00627C48" w:rsidP="00627C48">
      <w:pPr>
        <w:pStyle w:val="3"/>
        <w:tabs>
          <w:tab w:val="left" w:pos="3060"/>
        </w:tabs>
        <w:jc w:val="center"/>
        <w:rPr>
          <w:rFonts w:ascii="Tahoma" w:hAnsi="Tahoma" w:cs="Tahoma"/>
          <w:sz w:val="24"/>
        </w:rPr>
      </w:pPr>
      <w:r>
        <w:rPr>
          <w:rFonts w:ascii="Tahoma" w:hAnsi="Tahoma" w:cs="Tahoma"/>
          <w:sz w:val="24"/>
        </w:rPr>
        <w:t>ВИКОНАВЧИЙ КОМІТЕТ</w:t>
      </w:r>
    </w:p>
    <w:p w:rsidR="00627C48" w:rsidRDefault="00627C48" w:rsidP="00627C48">
      <w:pPr>
        <w:pStyle w:val="3"/>
        <w:ind w:left="-142"/>
        <w:jc w:val="center"/>
        <w:rPr>
          <w:sz w:val="24"/>
        </w:rPr>
      </w:pPr>
      <w:r>
        <w:rPr>
          <w:rFonts w:ascii="Tahoma" w:hAnsi="Tahoma" w:cs="Tahoma"/>
          <w:sz w:val="24"/>
        </w:rPr>
        <w:t>РІШЕННЯ</w:t>
      </w:r>
    </w:p>
    <w:p w:rsidR="00627C48" w:rsidRDefault="00627C48" w:rsidP="00627C48">
      <w:pPr>
        <w:pStyle w:val="a5"/>
        <w:tabs>
          <w:tab w:val="left" w:pos="2340"/>
        </w:tabs>
        <w:spacing w:line="240" w:lineRule="auto"/>
        <w:ind w:left="180" w:firstLine="0"/>
        <w:rPr>
          <w:lang w:val="uk-UA"/>
        </w:rPr>
      </w:pPr>
    </w:p>
    <w:p w:rsidR="004F7D55" w:rsidRPr="004F7D55" w:rsidRDefault="004F7D55" w:rsidP="004F7D55">
      <w:pPr>
        <w:shd w:val="clear" w:color="auto" w:fill="FFFFFF"/>
        <w:ind w:left="426"/>
        <w:rPr>
          <w:rFonts w:ascii="Times New Roman" w:hAnsi="Times New Roman"/>
          <w:bCs/>
          <w:sz w:val="28"/>
          <w:szCs w:val="28"/>
        </w:rPr>
      </w:pPr>
      <w:r w:rsidRPr="004F7D55">
        <w:rPr>
          <w:rFonts w:ascii="Times New Roman" w:hAnsi="Times New Roman"/>
          <w:bCs/>
          <w:sz w:val="28"/>
          <w:szCs w:val="28"/>
        </w:rPr>
        <w:t>Про виконання бюджету</w:t>
      </w:r>
    </w:p>
    <w:p w:rsidR="004F7D55" w:rsidRPr="004F7D55" w:rsidRDefault="004F7D55" w:rsidP="004F7D55">
      <w:pPr>
        <w:shd w:val="clear" w:color="auto" w:fill="FFFFFF"/>
        <w:ind w:left="426"/>
        <w:rPr>
          <w:rFonts w:ascii="Times New Roman" w:hAnsi="Times New Roman"/>
          <w:bCs/>
          <w:sz w:val="28"/>
          <w:szCs w:val="28"/>
        </w:rPr>
      </w:pPr>
      <w:r w:rsidRPr="004F7D55">
        <w:rPr>
          <w:rFonts w:ascii="Times New Roman" w:hAnsi="Times New Roman"/>
          <w:bCs/>
          <w:sz w:val="28"/>
          <w:szCs w:val="28"/>
        </w:rPr>
        <w:t xml:space="preserve">Калуської міської територіальної </w:t>
      </w:r>
    </w:p>
    <w:p w:rsidR="004F7D55" w:rsidRPr="004F7D55" w:rsidRDefault="004F7D55" w:rsidP="004F7D55">
      <w:pPr>
        <w:shd w:val="clear" w:color="auto" w:fill="FFFFFF"/>
        <w:ind w:left="426"/>
        <w:jc w:val="both"/>
        <w:rPr>
          <w:rFonts w:ascii="Times New Roman" w:hAnsi="Times New Roman"/>
          <w:sz w:val="28"/>
          <w:szCs w:val="28"/>
        </w:rPr>
      </w:pPr>
      <w:r w:rsidRPr="004F7D55">
        <w:rPr>
          <w:rFonts w:ascii="Times New Roman" w:hAnsi="Times New Roman"/>
          <w:bCs/>
          <w:sz w:val="28"/>
          <w:szCs w:val="28"/>
        </w:rPr>
        <w:t>громади за І квартал 2025 року</w:t>
      </w:r>
      <w:r w:rsidRPr="004F7D55">
        <w:rPr>
          <w:rFonts w:ascii="Times New Roman" w:hAnsi="Times New Roman"/>
          <w:sz w:val="28"/>
          <w:szCs w:val="28"/>
        </w:rPr>
        <w:t xml:space="preserve"> </w:t>
      </w:r>
      <w:bookmarkStart w:id="0" w:name="_GoBack"/>
      <w:bookmarkEnd w:id="0"/>
    </w:p>
    <w:p w:rsidR="004F7D55" w:rsidRPr="004F7D55" w:rsidRDefault="004F7D55" w:rsidP="004F7D55">
      <w:pPr>
        <w:shd w:val="clear" w:color="auto" w:fill="FFFFFF"/>
        <w:ind w:left="426" w:firstLine="708"/>
        <w:jc w:val="both"/>
        <w:rPr>
          <w:rFonts w:ascii="Times New Roman" w:hAnsi="Times New Roman"/>
          <w:sz w:val="28"/>
          <w:szCs w:val="28"/>
        </w:rPr>
      </w:pPr>
    </w:p>
    <w:p w:rsidR="004F7D55" w:rsidRPr="004F7D55" w:rsidRDefault="004F7D55" w:rsidP="004F7D55">
      <w:pPr>
        <w:shd w:val="clear" w:color="auto" w:fill="FFFFFF"/>
        <w:ind w:firstLine="708"/>
        <w:jc w:val="both"/>
        <w:rPr>
          <w:rFonts w:ascii="Times New Roman" w:hAnsi="Times New Roman"/>
          <w:sz w:val="28"/>
          <w:szCs w:val="28"/>
        </w:rPr>
      </w:pPr>
    </w:p>
    <w:p w:rsidR="004F7D55" w:rsidRPr="004F7D55" w:rsidRDefault="004F7D55" w:rsidP="004F7D55">
      <w:pPr>
        <w:shd w:val="clear" w:color="auto" w:fill="FFFFFF"/>
        <w:ind w:firstLine="708"/>
        <w:jc w:val="both"/>
        <w:rPr>
          <w:rFonts w:ascii="Times New Roman" w:hAnsi="Times New Roman"/>
          <w:sz w:val="28"/>
          <w:szCs w:val="28"/>
        </w:rPr>
      </w:pPr>
    </w:p>
    <w:p w:rsidR="004F7D55" w:rsidRPr="004F7D55" w:rsidRDefault="004F7D55" w:rsidP="004F7D55">
      <w:pPr>
        <w:shd w:val="clear" w:color="auto" w:fill="FFFFFF"/>
        <w:ind w:firstLine="708"/>
        <w:jc w:val="both"/>
        <w:rPr>
          <w:rFonts w:ascii="Times New Roman" w:hAnsi="Times New Roman"/>
          <w:bCs/>
          <w:color w:val="000000"/>
          <w:sz w:val="28"/>
          <w:szCs w:val="28"/>
        </w:rPr>
      </w:pPr>
      <w:r w:rsidRPr="004F7D55">
        <w:rPr>
          <w:rFonts w:ascii="Times New Roman" w:hAnsi="Times New Roman"/>
          <w:color w:val="000000"/>
          <w:sz w:val="28"/>
          <w:szCs w:val="28"/>
        </w:rPr>
        <w:t xml:space="preserve">За І квартал </w:t>
      </w:r>
      <w:r w:rsidRPr="004F7D55">
        <w:rPr>
          <w:rFonts w:ascii="Times New Roman" w:hAnsi="Times New Roman"/>
          <w:bCs/>
          <w:color w:val="000000"/>
          <w:sz w:val="28"/>
          <w:szCs w:val="28"/>
        </w:rPr>
        <w:t>2025 року </w:t>
      </w:r>
      <w:r w:rsidRPr="004F7D55">
        <w:rPr>
          <w:rFonts w:ascii="Times New Roman" w:hAnsi="Times New Roman"/>
          <w:color w:val="000000"/>
          <w:sz w:val="28"/>
          <w:szCs w:val="28"/>
        </w:rPr>
        <w:t xml:space="preserve">до бюджету </w:t>
      </w:r>
      <w:r w:rsidRPr="004F7D55">
        <w:rPr>
          <w:rFonts w:ascii="Times New Roman" w:hAnsi="Times New Roman"/>
          <w:bCs/>
          <w:color w:val="000000"/>
          <w:sz w:val="28"/>
          <w:szCs w:val="28"/>
        </w:rPr>
        <w:t xml:space="preserve">Калуської міської територіальної громади </w:t>
      </w:r>
      <w:r w:rsidRPr="004F7D55">
        <w:rPr>
          <w:rFonts w:ascii="Times New Roman" w:hAnsi="Times New Roman"/>
          <w:color w:val="000000"/>
          <w:sz w:val="28"/>
          <w:szCs w:val="28"/>
        </w:rPr>
        <w:t xml:space="preserve">надійшло доходів загального та спеціального фондів з урахуванням трансфертів у сумі 275 114,3 тисяч гривень, що складає 95,7 відсотка </w:t>
      </w:r>
      <w:r w:rsidRPr="004F7D55">
        <w:rPr>
          <w:rFonts w:ascii="Times New Roman" w:hAnsi="Times New Roman"/>
          <w:color w:val="000000"/>
          <w:spacing w:val="-15"/>
          <w:sz w:val="28"/>
          <w:szCs w:val="28"/>
        </w:rPr>
        <w:t>до </w:t>
      </w:r>
      <w:r w:rsidRPr="004F7D55">
        <w:rPr>
          <w:rFonts w:ascii="Times New Roman" w:hAnsi="Times New Roman"/>
          <w:color w:val="000000"/>
          <w:sz w:val="28"/>
          <w:szCs w:val="28"/>
        </w:rPr>
        <w:t>затвердженого плану із врахуванням змін.</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Із загальної суми надходжень міжбюджетні трансферти склали 60 085,5 тисяч гривень (субвенції з державного бюджету – 53 511,7 тисяч гривень, дотації з державного та місцевого бюджетів – 6 076 тисяч гривень та субвенції з місцевих бюджетів – 497,8 тисяч гривень).</w:t>
      </w:r>
    </w:p>
    <w:p w:rsidR="004F7D55" w:rsidRPr="004F7D55" w:rsidRDefault="004F7D55" w:rsidP="004F7D55">
      <w:pPr>
        <w:shd w:val="clear" w:color="auto" w:fill="FFFFFF"/>
        <w:ind w:firstLine="708"/>
        <w:jc w:val="both"/>
        <w:rPr>
          <w:rFonts w:ascii="Times New Roman" w:hAnsi="Times New Roman"/>
          <w:color w:val="000000"/>
          <w:sz w:val="28"/>
          <w:szCs w:val="28"/>
          <w:lang w:val="ru-RU"/>
        </w:rPr>
      </w:pPr>
      <w:r w:rsidRPr="004F7D55">
        <w:rPr>
          <w:rFonts w:ascii="Times New Roman" w:hAnsi="Times New Roman"/>
          <w:color w:val="000000"/>
          <w:sz w:val="28"/>
          <w:szCs w:val="28"/>
        </w:rPr>
        <w:t>Виконання планових показників з урахуванням змін по доходах загального фонду (без урахування трансфертів) склало 185 243,6 тисяч гривень або 91,1 відсотка. Проти відповідного періоду минулого року доходи загального фонду зросли на 21,9 відсотка, або на 33 302,6 тисяч гривень.</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Основну питому вагу в складі доходів загального фонду займає податок та збір на доходи фізичних осіб – 50,4 відсотка або 93 440,2 тисяч гривень. Виконання планових показників з урахуванням змін становить 121,6 відсотка    (+16 592,2 тисяч гривень). Проти відповідного періоду минулого року доходи зросли на 15 719,8 тисяч гривень або на 20,2 відсотка.</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Внутрішні податки на товари та послуги (акциз) поступили в сумі 15 071,2 тисяч гривень або 90,1 відсотка до планових показників та на 4 331,8 тисяч гривень (+40,3 відсотка) більше проти відповідного періоду минулого року.</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Місцеві податки і збори (питома вага у доходах загального фонду становить 36,8 відсотка) поступили в сумі 68 146,5 тисяч гривень, що становить 64,4 відсотка, недоотримано  до бюджету 37 613,2 тисяч гривень .</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 xml:space="preserve">Надходження по податку на майно склали 34 567,4 </w:t>
      </w:r>
      <w:r w:rsidRPr="004F7D55">
        <w:rPr>
          <w:rStyle w:val="rvts8"/>
          <w:rFonts w:ascii="Times New Roman" w:hAnsi="Times New Roman"/>
          <w:color w:val="000000"/>
          <w:sz w:val="28"/>
          <w:szCs w:val="28"/>
        </w:rPr>
        <w:t>тисяч гривень</w:t>
      </w:r>
      <w:r w:rsidRPr="004F7D55">
        <w:rPr>
          <w:rFonts w:ascii="Times New Roman" w:hAnsi="Times New Roman"/>
          <w:color w:val="000000"/>
          <w:sz w:val="28"/>
          <w:szCs w:val="28"/>
        </w:rPr>
        <w:t xml:space="preserve"> або 46,7 відсотка (-39 404,0 тисяч гривень) ,проти відповідного періоду минулого року  зросли на 9 967,1 тисяч гривень (+40,5 відсотка). </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 xml:space="preserve"> Найбільший обсяг поступлень досягнуто по єдиному податку </w:t>
      </w:r>
      <w:r w:rsidRPr="004F7D55">
        <w:rPr>
          <w:rStyle w:val="rvts8"/>
          <w:rFonts w:ascii="Times New Roman" w:hAnsi="Times New Roman"/>
          <w:color w:val="000000"/>
          <w:sz w:val="28"/>
          <w:szCs w:val="28"/>
        </w:rPr>
        <w:t xml:space="preserve">–  33 562,3 </w:t>
      </w:r>
      <w:r w:rsidRPr="004F7D55">
        <w:rPr>
          <w:rFonts w:ascii="Times New Roman" w:hAnsi="Times New Roman"/>
          <w:color w:val="000000"/>
          <w:sz w:val="28"/>
          <w:szCs w:val="28"/>
        </w:rPr>
        <w:t>тисяч гривень або 105,6 відсотка та на 2 384,3 тисяч гривень(+7,7 відсотка) більше проти відповідного періоду минулого року.</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 xml:space="preserve"> Неподаткові надходження склали 8 157,8 тисяч гривень або 211,4 відсотка до планових показників та на 1 238,4 тисяч гривень(+17,9 відсотка) більше проти відповідного періоду минулого року.</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lastRenderedPageBreak/>
        <w:t xml:space="preserve">До спеціального фонду надійшло доходів (без урахування трансфертів) у сумі 29 785,2 тисяч гривень, що склало 125,0 відсотків виконання планового показника. Проти відповідного періоду минулого року надходження зросли </w:t>
      </w:r>
      <w:r w:rsidRPr="004F7D55">
        <w:rPr>
          <w:rFonts w:ascii="Times New Roman" w:hAnsi="Times New Roman"/>
          <w:sz w:val="28"/>
          <w:szCs w:val="28"/>
        </w:rPr>
        <w:t>на 12 688,1</w:t>
      </w:r>
      <w:r w:rsidRPr="004F7D55">
        <w:rPr>
          <w:rFonts w:ascii="Times New Roman" w:hAnsi="Times New Roman"/>
          <w:color w:val="FF0000"/>
          <w:sz w:val="28"/>
          <w:szCs w:val="28"/>
        </w:rPr>
        <w:t xml:space="preserve"> </w:t>
      </w:r>
      <w:r w:rsidRPr="004F7D55">
        <w:rPr>
          <w:rFonts w:ascii="Times New Roman" w:hAnsi="Times New Roman"/>
          <w:color w:val="000000"/>
          <w:sz w:val="28"/>
          <w:szCs w:val="28"/>
        </w:rPr>
        <w:t>тисяч гривень (+74,2 відсотка).</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 xml:space="preserve">В розрізі платежів найбільший обсяг поступлень досягнуто по власних надходженнях бюджетних установ (питома вага – 70,9 відсотка) – 21 122,7 тисяч гривень та по доходах від операцій з капіталом (питома вага – 27,4 відсотка) – 8 151,3 тисяч гривень, поступлення по екологічному податку – 511,1 тисяч гривень (питома вага – 1,7 відсотка). </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Протягом І кварталу 2025 року проведено видатків загального та спеціального фондів в сумі 248 464,8 тисяч гривень, що складає 75,5 відсотків</w:t>
      </w:r>
      <w:r w:rsidRPr="004F7D55">
        <w:rPr>
          <w:rFonts w:ascii="Times New Roman" w:hAnsi="Times New Roman"/>
          <w:color w:val="000000"/>
          <w:spacing w:val="-15"/>
          <w:sz w:val="28"/>
          <w:szCs w:val="28"/>
        </w:rPr>
        <w:t xml:space="preserve"> до </w:t>
      </w:r>
      <w:r w:rsidRPr="004F7D55">
        <w:rPr>
          <w:rFonts w:ascii="Times New Roman" w:hAnsi="Times New Roman"/>
          <w:color w:val="000000"/>
          <w:sz w:val="28"/>
          <w:szCs w:val="28"/>
        </w:rPr>
        <w:t xml:space="preserve"> уточненого плану, в тому числі по загальному фонду – 220 896,1 тисяч гривень або 83,0 відсотка, по спеціальному – 27 568,7 тисяч гривень або 44,0 відсотка.</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 xml:space="preserve">У загальній сумі видатків загального фонду видатки соціального спрямування  складають – 72,6 відсотка (160 420,5 тисяч гривень), з яких на галузь освіта – 53,4 відсотка (118 024,2 тисяч гривень), соціальний захист та соціальне забезпечення – 5,8 відсотка (12 909,3 тисяч гривень), охорона здоров’я - 7,2  відсотка (15 849,2 тисяч гривень), культура і мистецтво - 3,7  відсотка (8 092,7 тисяч гривень), фізична культура і спорт- 2,5 відсотка       (5 545,1 тисяч гривень) . </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 xml:space="preserve">Основну питому вагу у загальному обсязі видатків загального фонду займають видатки на захищені статті бюджету 182 808,8 тисяч гривень або 82,8 відсотка, з яких на заробітну плату спрямовано 147 545,1 тисяч гривень або 80,7 відсотків, на оплату комунальних послуг та енергоносіїв – 24 150,8 тисяч гривень (13,2 відсотків), на інші захищені статті – 11 112,9 тисяч гривень (6,1 відсотків). </w:t>
      </w:r>
    </w:p>
    <w:p w:rsidR="004F7D55" w:rsidRPr="004F7D55" w:rsidRDefault="004F7D55" w:rsidP="004F7D55">
      <w:pPr>
        <w:shd w:val="clear" w:color="auto" w:fill="FFFFFF"/>
        <w:ind w:firstLine="708"/>
        <w:jc w:val="both"/>
        <w:rPr>
          <w:rFonts w:ascii="Times New Roman" w:hAnsi="Times New Roman"/>
          <w:color w:val="000000"/>
          <w:sz w:val="28"/>
          <w:szCs w:val="28"/>
        </w:rPr>
      </w:pPr>
      <w:r w:rsidRPr="004F7D55">
        <w:rPr>
          <w:rFonts w:ascii="Times New Roman" w:hAnsi="Times New Roman"/>
          <w:color w:val="000000"/>
          <w:sz w:val="28"/>
          <w:szCs w:val="28"/>
        </w:rPr>
        <w:t>Зокрема на виконання завдань щодо відсічі збройної агресії за І квартал 2025 року по загальному і спеціальному фондах спрямовано 14 854,3 тисяч гривень.</w:t>
      </w:r>
    </w:p>
    <w:p w:rsidR="004F7D55" w:rsidRPr="004F7D55" w:rsidRDefault="004F7D55" w:rsidP="004F7D55">
      <w:pPr>
        <w:shd w:val="clear" w:color="auto" w:fill="FFFFFF"/>
        <w:ind w:firstLine="708"/>
        <w:jc w:val="both"/>
        <w:rPr>
          <w:rFonts w:ascii="Times New Roman" w:hAnsi="Times New Roman"/>
          <w:color w:val="000000"/>
          <w:sz w:val="28"/>
          <w:szCs w:val="28"/>
        </w:rPr>
      </w:pPr>
    </w:p>
    <w:p w:rsidR="004F7D55" w:rsidRPr="004F7D55" w:rsidRDefault="004F7D55" w:rsidP="004F7D55">
      <w:pPr>
        <w:pStyle w:val="rvps28"/>
        <w:shd w:val="clear" w:color="auto" w:fill="FFFFFF"/>
        <w:spacing w:before="0" w:beforeAutospacing="0" w:after="0" w:afterAutospacing="0"/>
        <w:ind w:firstLine="709"/>
        <w:jc w:val="both"/>
        <w:rPr>
          <w:rStyle w:val="rvts15"/>
        </w:rPr>
      </w:pPr>
      <w:proofErr w:type="spellStart"/>
      <w:r w:rsidRPr="004F7D55">
        <w:rPr>
          <w:rStyle w:val="rvts15"/>
          <w:color w:val="000000"/>
          <w:sz w:val="28"/>
          <w:szCs w:val="28"/>
        </w:rPr>
        <w:t>Керуючись</w:t>
      </w:r>
      <w:proofErr w:type="spellEnd"/>
      <w:r w:rsidRPr="004F7D55">
        <w:rPr>
          <w:rStyle w:val="rvts15"/>
          <w:color w:val="000000"/>
          <w:sz w:val="28"/>
          <w:szCs w:val="28"/>
        </w:rPr>
        <w:t xml:space="preserve"> ст.28 Закону </w:t>
      </w:r>
      <w:proofErr w:type="spellStart"/>
      <w:r w:rsidRPr="004F7D55">
        <w:rPr>
          <w:rStyle w:val="rvts15"/>
          <w:color w:val="000000"/>
          <w:sz w:val="28"/>
          <w:szCs w:val="28"/>
        </w:rPr>
        <w:t>України</w:t>
      </w:r>
      <w:proofErr w:type="spellEnd"/>
      <w:r w:rsidRPr="004F7D55">
        <w:rPr>
          <w:rStyle w:val="rvts15"/>
          <w:color w:val="000000"/>
          <w:sz w:val="28"/>
          <w:szCs w:val="28"/>
        </w:rPr>
        <w:t xml:space="preserve"> «Про </w:t>
      </w:r>
      <w:proofErr w:type="spellStart"/>
      <w:r w:rsidRPr="004F7D55">
        <w:rPr>
          <w:rStyle w:val="rvts15"/>
          <w:color w:val="000000"/>
          <w:sz w:val="28"/>
          <w:szCs w:val="28"/>
        </w:rPr>
        <w:t>місцеве</w:t>
      </w:r>
      <w:proofErr w:type="spellEnd"/>
      <w:r w:rsidRPr="004F7D55">
        <w:rPr>
          <w:rStyle w:val="rvts15"/>
          <w:color w:val="000000"/>
          <w:sz w:val="28"/>
          <w:szCs w:val="28"/>
        </w:rPr>
        <w:t xml:space="preserve"> </w:t>
      </w:r>
      <w:proofErr w:type="spellStart"/>
      <w:r w:rsidRPr="004F7D55">
        <w:rPr>
          <w:rStyle w:val="rvts15"/>
          <w:color w:val="000000"/>
          <w:sz w:val="28"/>
          <w:szCs w:val="28"/>
        </w:rPr>
        <w:t>самоврядування</w:t>
      </w:r>
      <w:proofErr w:type="spellEnd"/>
      <w:r w:rsidRPr="004F7D55">
        <w:rPr>
          <w:rStyle w:val="rvts15"/>
          <w:color w:val="000000"/>
          <w:sz w:val="28"/>
          <w:szCs w:val="28"/>
        </w:rPr>
        <w:t xml:space="preserve"> в </w:t>
      </w:r>
      <w:proofErr w:type="spellStart"/>
      <w:r w:rsidRPr="004F7D55">
        <w:rPr>
          <w:rStyle w:val="rvts15"/>
          <w:color w:val="000000"/>
          <w:sz w:val="28"/>
          <w:szCs w:val="28"/>
        </w:rPr>
        <w:t>Україні</w:t>
      </w:r>
      <w:proofErr w:type="spellEnd"/>
      <w:r w:rsidRPr="004F7D55">
        <w:rPr>
          <w:rStyle w:val="rvts15"/>
          <w:color w:val="000000"/>
          <w:sz w:val="28"/>
          <w:szCs w:val="28"/>
        </w:rPr>
        <w:t xml:space="preserve">», та </w:t>
      </w:r>
      <w:proofErr w:type="spellStart"/>
      <w:r w:rsidRPr="004F7D55">
        <w:rPr>
          <w:rStyle w:val="rvts15"/>
          <w:color w:val="000000"/>
          <w:sz w:val="28"/>
          <w:szCs w:val="28"/>
        </w:rPr>
        <w:t>враховуючи</w:t>
      </w:r>
      <w:proofErr w:type="spellEnd"/>
      <w:r w:rsidRPr="004F7D55">
        <w:rPr>
          <w:rStyle w:val="rvts15"/>
          <w:color w:val="000000"/>
          <w:sz w:val="28"/>
          <w:szCs w:val="28"/>
        </w:rPr>
        <w:t xml:space="preserve"> </w:t>
      </w:r>
      <w:proofErr w:type="spellStart"/>
      <w:r w:rsidRPr="004F7D55">
        <w:rPr>
          <w:rStyle w:val="rvts15"/>
          <w:color w:val="000000"/>
          <w:sz w:val="28"/>
          <w:szCs w:val="28"/>
        </w:rPr>
        <w:t>вищенаведене</w:t>
      </w:r>
      <w:proofErr w:type="spellEnd"/>
      <w:r w:rsidRPr="004F7D55">
        <w:rPr>
          <w:rStyle w:val="rvts15"/>
          <w:color w:val="000000"/>
          <w:sz w:val="28"/>
          <w:szCs w:val="28"/>
        </w:rPr>
        <w:t xml:space="preserve">, </w:t>
      </w:r>
      <w:proofErr w:type="spellStart"/>
      <w:r w:rsidRPr="004F7D55">
        <w:rPr>
          <w:rStyle w:val="rvts15"/>
          <w:color w:val="000000"/>
          <w:sz w:val="28"/>
          <w:szCs w:val="28"/>
        </w:rPr>
        <w:t>виконавчий</w:t>
      </w:r>
      <w:proofErr w:type="spellEnd"/>
      <w:r w:rsidRPr="004F7D55">
        <w:rPr>
          <w:rStyle w:val="rvts15"/>
          <w:color w:val="000000"/>
          <w:sz w:val="28"/>
          <w:szCs w:val="28"/>
        </w:rPr>
        <w:t xml:space="preserve"> </w:t>
      </w:r>
      <w:proofErr w:type="spellStart"/>
      <w:r w:rsidRPr="004F7D55">
        <w:rPr>
          <w:rStyle w:val="rvts15"/>
          <w:color w:val="000000"/>
          <w:sz w:val="28"/>
          <w:szCs w:val="28"/>
        </w:rPr>
        <w:t>комітет</w:t>
      </w:r>
      <w:proofErr w:type="spellEnd"/>
      <w:r w:rsidRPr="004F7D55">
        <w:rPr>
          <w:rStyle w:val="rvts15"/>
          <w:color w:val="000000"/>
          <w:sz w:val="28"/>
          <w:szCs w:val="28"/>
        </w:rPr>
        <w:t xml:space="preserve"> </w:t>
      </w:r>
      <w:proofErr w:type="spellStart"/>
      <w:r w:rsidRPr="004F7D55">
        <w:rPr>
          <w:rStyle w:val="rvts15"/>
          <w:color w:val="000000"/>
          <w:sz w:val="28"/>
          <w:szCs w:val="28"/>
        </w:rPr>
        <w:t>міської</w:t>
      </w:r>
      <w:proofErr w:type="spellEnd"/>
      <w:r w:rsidRPr="004F7D55">
        <w:rPr>
          <w:rStyle w:val="rvts15"/>
          <w:color w:val="000000"/>
          <w:sz w:val="28"/>
          <w:szCs w:val="28"/>
        </w:rPr>
        <w:t xml:space="preserve"> ради</w:t>
      </w:r>
    </w:p>
    <w:p w:rsidR="004F7D55" w:rsidRPr="004F7D55" w:rsidRDefault="004F7D55" w:rsidP="004F7D55">
      <w:pPr>
        <w:pStyle w:val="rvps28"/>
        <w:shd w:val="clear" w:color="auto" w:fill="FFFFFF"/>
        <w:spacing w:before="0" w:beforeAutospacing="0" w:after="0" w:afterAutospacing="0"/>
        <w:ind w:left="705"/>
        <w:jc w:val="both"/>
        <w:rPr>
          <w:rStyle w:val="rvts15"/>
          <w:color w:val="000000"/>
          <w:sz w:val="28"/>
          <w:szCs w:val="28"/>
        </w:rPr>
      </w:pPr>
    </w:p>
    <w:p w:rsidR="004F7D55" w:rsidRPr="004F7D55" w:rsidRDefault="004F7D55" w:rsidP="004F7D55">
      <w:pPr>
        <w:shd w:val="clear" w:color="auto" w:fill="FFFFFF"/>
        <w:jc w:val="both"/>
        <w:rPr>
          <w:rFonts w:ascii="Times New Roman" w:hAnsi="Times New Roman"/>
          <w:b/>
          <w:bCs/>
        </w:rPr>
      </w:pPr>
      <w:r w:rsidRPr="004F7D55">
        <w:rPr>
          <w:rFonts w:ascii="Times New Roman" w:hAnsi="Times New Roman"/>
          <w:b/>
          <w:bCs/>
          <w:color w:val="000000"/>
          <w:sz w:val="28"/>
          <w:szCs w:val="28"/>
        </w:rPr>
        <w:t>ВИРІШИВ:</w:t>
      </w:r>
    </w:p>
    <w:p w:rsidR="004F7D55" w:rsidRPr="004F7D55" w:rsidRDefault="004F7D55" w:rsidP="004F7D55">
      <w:pPr>
        <w:shd w:val="clear" w:color="auto" w:fill="FFFFFF"/>
        <w:jc w:val="both"/>
        <w:rPr>
          <w:rFonts w:ascii="Times New Roman" w:hAnsi="Times New Roman"/>
          <w:b/>
          <w:bCs/>
          <w:color w:val="000000"/>
          <w:sz w:val="28"/>
          <w:szCs w:val="28"/>
        </w:rPr>
      </w:pPr>
    </w:p>
    <w:p w:rsidR="004F7D55" w:rsidRPr="004F7D55" w:rsidRDefault="004F7D55" w:rsidP="004F7D55">
      <w:pPr>
        <w:pStyle w:val="rvps30"/>
        <w:shd w:val="clear" w:color="auto" w:fill="FFFFFF"/>
        <w:spacing w:before="0" w:beforeAutospacing="0" w:after="0" w:afterAutospacing="0"/>
        <w:ind w:firstLine="705"/>
        <w:jc w:val="both"/>
        <w:rPr>
          <w:color w:val="000000"/>
          <w:sz w:val="18"/>
          <w:szCs w:val="18"/>
        </w:rPr>
      </w:pPr>
      <w:r w:rsidRPr="004F7D55">
        <w:rPr>
          <w:rStyle w:val="rvts8"/>
          <w:color w:val="000000"/>
          <w:sz w:val="28"/>
          <w:szCs w:val="28"/>
        </w:rPr>
        <w:t xml:space="preserve">1. </w:t>
      </w:r>
      <w:proofErr w:type="spellStart"/>
      <w:r w:rsidRPr="004F7D55">
        <w:rPr>
          <w:rStyle w:val="rvts8"/>
          <w:color w:val="000000"/>
          <w:sz w:val="28"/>
          <w:szCs w:val="28"/>
        </w:rPr>
        <w:t>Інформацію</w:t>
      </w:r>
      <w:proofErr w:type="spellEnd"/>
      <w:r w:rsidRPr="004F7D55">
        <w:rPr>
          <w:rStyle w:val="rvts8"/>
          <w:color w:val="000000"/>
          <w:sz w:val="28"/>
          <w:szCs w:val="28"/>
        </w:rPr>
        <w:t xml:space="preserve"> про </w:t>
      </w:r>
      <w:proofErr w:type="spellStart"/>
      <w:r w:rsidRPr="004F7D55">
        <w:rPr>
          <w:rStyle w:val="rvts8"/>
          <w:color w:val="000000"/>
          <w:sz w:val="28"/>
          <w:szCs w:val="28"/>
        </w:rPr>
        <w:t>виконання</w:t>
      </w:r>
      <w:proofErr w:type="spellEnd"/>
      <w:r w:rsidRPr="004F7D55">
        <w:rPr>
          <w:rStyle w:val="rvts8"/>
          <w:color w:val="000000"/>
          <w:sz w:val="28"/>
          <w:szCs w:val="28"/>
        </w:rPr>
        <w:t xml:space="preserve"> бюджету </w:t>
      </w:r>
      <w:proofErr w:type="spellStart"/>
      <w:r w:rsidRPr="004F7D55">
        <w:rPr>
          <w:rStyle w:val="rvts8"/>
          <w:color w:val="000000"/>
          <w:sz w:val="28"/>
          <w:szCs w:val="28"/>
        </w:rPr>
        <w:t>Калуської</w:t>
      </w:r>
      <w:proofErr w:type="spellEnd"/>
      <w:r w:rsidRPr="004F7D55">
        <w:rPr>
          <w:rStyle w:val="rvts8"/>
          <w:color w:val="000000"/>
          <w:sz w:val="28"/>
          <w:szCs w:val="28"/>
        </w:rPr>
        <w:t xml:space="preserve"> </w:t>
      </w:r>
      <w:proofErr w:type="spellStart"/>
      <w:r w:rsidRPr="004F7D55">
        <w:rPr>
          <w:rStyle w:val="rvts8"/>
          <w:color w:val="000000"/>
          <w:sz w:val="28"/>
          <w:szCs w:val="28"/>
        </w:rPr>
        <w:t>міської</w:t>
      </w:r>
      <w:proofErr w:type="spellEnd"/>
      <w:r w:rsidRPr="004F7D55">
        <w:rPr>
          <w:rStyle w:val="rvts8"/>
          <w:color w:val="000000"/>
          <w:sz w:val="28"/>
          <w:szCs w:val="28"/>
        </w:rPr>
        <w:t xml:space="preserve"> </w:t>
      </w:r>
      <w:proofErr w:type="spellStart"/>
      <w:r w:rsidRPr="004F7D55">
        <w:rPr>
          <w:rStyle w:val="rvts8"/>
          <w:color w:val="000000"/>
          <w:sz w:val="28"/>
          <w:szCs w:val="28"/>
        </w:rPr>
        <w:t>територіальної</w:t>
      </w:r>
      <w:proofErr w:type="spellEnd"/>
      <w:r w:rsidRPr="004F7D55">
        <w:rPr>
          <w:rStyle w:val="rvts8"/>
          <w:color w:val="000000"/>
          <w:sz w:val="28"/>
          <w:szCs w:val="28"/>
        </w:rPr>
        <w:t xml:space="preserve"> </w:t>
      </w:r>
      <w:proofErr w:type="spellStart"/>
      <w:r w:rsidRPr="004F7D55">
        <w:rPr>
          <w:rStyle w:val="rvts8"/>
          <w:color w:val="000000"/>
          <w:sz w:val="28"/>
          <w:szCs w:val="28"/>
        </w:rPr>
        <w:t>громади</w:t>
      </w:r>
      <w:proofErr w:type="spellEnd"/>
      <w:r w:rsidRPr="004F7D55">
        <w:rPr>
          <w:rStyle w:val="rvts8"/>
          <w:color w:val="000000"/>
          <w:sz w:val="28"/>
          <w:szCs w:val="28"/>
        </w:rPr>
        <w:t xml:space="preserve"> за І квартал 2025 року </w:t>
      </w:r>
      <w:proofErr w:type="spellStart"/>
      <w:r w:rsidRPr="004F7D55">
        <w:rPr>
          <w:rStyle w:val="rvts8"/>
          <w:color w:val="000000"/>
          <w:sz w:val="28"/>
          <w:szCs w:val="28"/>
        </w:rPr>
        <w:t>взяти</w:t>
      </w:r>
      <w:proofErr w:type="spellEnd"/>
      <w:r w:rsidRPr="004F7D55">
        <w:rPr>
          <w:rStyle w:val="rvts8"/>
          <w:color w:val="000000"/>
          <w:sz w:val="28"/>
          <w:szCs w:val="28"/>
        </w:rPr>
        <w:t xml:space="preserve"> до </w:t>
      </w:r>
      <w:proofErr w:type="spellStart"/>
      <w:r w:rsidRPr="004F7D55">
        <w:rPr>
          <w:rStyle w:val="rvts8"/>
          <w:color w:val="000000"/>
          <w:sz w:val="28"/>
          <w:szCs w:val="28"/>
        </w:rPr>
        <w:t>відома</w:t>
      </w:r>
      <w:proofErr w:type="spellEnd"/>
      <w:r w:rsidRPr="004F7D55">
        <w:rPr>
          <w:rStyle w:val="rvts8"/>
          <w:color w:val="000000"/>
          <w:sz w:val="28"/>
          <w:szCs w:val="28"/>
        </w:rPr>
        <w:t>.</w:t>
      </w:r>
    </w:p>
    <w:p w:rsidR="004F7D55" w:rsidRPr="004F7D55" w:rsidRDefault="004F7D55" w:rsidP="004F7D55">
      <w:pPr>
        <w:pStyle w:val="rvps32"/>
        <w:shd w:val="clear" w:color="auto" w:fill="FFFFFF"/>
        <w:spacing w:before="0" w:beforeAutospacing="0" w:after="0" w:afterAutospacing="0"/>
        <w:ind w:firstLine="705"/>
        <w:jc w:val="both"/>
        <w:rPr>
          <w:color w:val="000000"/>
          <w:sz w:val="18"/>
          <w:szCs w:val="18"/>
        </w:rPr>
      </w:pPr>
      <w:r w:rsidRPr="004F7D55">
        <w:rPr>
          <w:rStyle w:val="rvts8"/>
          <w:color w:val="000000"/>
          <w:sz w:val="28"/>
          <w:szCs w:val="28"/>
        </w:rPr>
        <w:t xml:space="preserve">2. </w:t>
      </w:r>
      <w:proofErr w:type="spellStart"/>
      <w:r w:rsidRPr="004F7D55">
        <w:rPr>
          <w:rStyle w:val="rvts8"/>
          <w:color w:val="000000"/>
          <w:sz w:val="28"/>
          <w:szCs w:val="28"/>
        </w:rPr>
        <w:t>Фінансовому</w:t>
      </w:r>
      <w:proofErr w:type="spellEnd"/>
      <w:r w:rsidRPr="004F7D55">
        <w:rPr>
          <w:rStyle w:val="rvts8"/>
          <w:color w:val="000000"/>
          <w:sz w:val="28"/>
          <w:szCs w:val="28"/>
        </w:rPr>
        <w:t xml:space="preserve"> </w:t>
      </w:r>
      <w:proofErr w:type="spellStart"/>
      <w:r w:rsidRPr="004F7D55">
        <w:rPr>
          <w:rStyle w:val="rvts8"/>
          <w:color w:val="000000"/>
          <w:sz w:val="28"/>
          <w:szCs w:val="28"/>
        </w:rPr>
        <w:t>управлінню</w:t>
      </w:r>
      <w:proofErr w:type="spellEnd"/>
      <w:r w:rsidRPr="004F7D55">
        <w:rPr>
          <w:rStyle w:val="rvts8"/>
          <w:color w:val="000000"/>
          <w:sz w:val="28"/>
          <w:szCs w:val="28"/>
        </w:rPr>
        <w:t xml:space="preserve"> </w:t>
      </w:r>
      <w:proofErr w:type="spellStart"/>
      <w:r w:rsidRPr="004F7D55">
        <w:rPr>
          <w:rStyle w:val="rvts8"/>
          <w:color w:val="000000"/>
          <w:sz w:val="28"/>
          <w:szCs w:val="28"/>
        </w:rPr>
        <w:t>міської</w:t>
      </w:r>
      <w:proofErr w:type="spellEnd"/>
      <w:r w:rsidRPr="004F7D55">
        <w:rPr>
          <w:rStyle w:val="rvts8"/>
          <w:color w:val="000000"/>
          <w:sz w:val="28"/>
          <w:szCs w:val="28"/>
        </w:rPr>
        <w:t xml:space="preserve"> ради (Леся Поташник) </w:t>
      </w:r>
      <w:proofErr w:type="spellStart"/>
      <w:r w:rsidRPr="004F7D55">
        <w:rPr>
          <w:rStyle w:val="rvts8"/>
          <w:color w:val="000000"/>
          <w:sz w:val="28"/>
          <w:szCs w:val="28"/>
        </w:rPr>
        <w:t>звіт</w:t>
      </w:r>
      <w:proofErr w:type="spellEnd"/>
      <w:r w:rsidRPr="004F7D55">
        <w:rPr>
          <w:rStyle w:val="rvts8"/>
          <w:color w:val="000000"/>
          <w:sz w:val="28"/>
          <w:szCs w:val="28"/>
        </w:rPr>
        <w:t xml:space="preserve"> про </w:t>
      </w:r>
      <w:proofErr w:type="spellStart"/>
      <w:r w:rsidRPr="004F7D55">
        <w:rPr>
          <w:rStyle w:val="rvts8"/>
          <w:color w:val="000000"/>
          <w:sz w:val="28"/>
          <w:szCs w:val="28"/>
        </w:rPr>
        <w:t>виконання</w:t>
      </w:r>
      <w:proofErr w:type="spellEnd"/>
      <w:r w:rsidRPr="004F7D55">
        <w:rPr>
          <w:rStyle w:val="rvts8"/>
          <w:color w:val="000000"/>
          <w:sz w:val="28"/>
          <w:szCs w:val="28"/>
        </w:rPr>
        <w:t xml:space="preserve"> бюджету </w:t>
      </w:r>
      <w:proofErr w:type="spellStart"/>
      <w:r w:rsidRPr="004F7D55">
        <w:rPr>
          <w:rStyle w:val="rvts8"/>
          <w:color w:val="000000"/>
          <w:sz w:val="28"/>
          <w:szCs w:val="28"/>
        </w:rPr>
        <w:t>Калуської</w:t>
      </w:r>
      <w:proofErr w:type="spellEnd"/>
      <w:r w:rsidRPr="004F7D55">
        <w:rPr>
          <w:rStyle w:val="rvts8"/>
          <w:color w:val="000000"/>
          <w:sz w:val="28"/>
          <w:szCs w:val="28"/>
        </w:rPr>
        <w:t xml:space="preserve"> </w:t>
      </w:r>
      <w:proofErr w:type="spellStart"/>
      <w:r w:rsidRPr="004F7D55">
        <w:rPr>
          <w:rStyle w:val="rvts8"/>
          <w:color w:val="000000"/>
          <w:sz w:val="28"/>
          <w:szCs w:val="28"/>
        </w:rPr>
        <w:t>міської</w:t>
      </w:r>
      <w:proofErr w:type="spellEnd"/>
      <w:r w:rsidRPr="004F7D55">
        <w:rPr>
          <w:rStyle w:val="rvts8"/>
          <w:color w:val="000000"/>
          <w:sz w:val="28"/>
          <w:szCs w:val="28"/>
        </w:rPr>
        <w:t xml:space="preserve"> </w:t>
      </w:r>
      <w:proofErr w:type="spellStart"/>
      <w:r w:rsidRPr="004F7D55">
        <w:rPr>
          <w:rStyle w:val="rvts8"/>
          <w:color w:val="000000"/>
          <w:sz w:val="28"/>
          <w:szCs w:val="28"/>
        </w:rPr>
        <w:t>територіальної</w:t>
      </w:r>
      <w:proofErr w:type="spellEnd"/>
      <w:r w:rsidRPr="004F7D55">
        <w:rPr>
          <w:rStyle w:val="rvts8"/>
          <w:color w:val="000000"/>
          <w:sz w:val="28"/>
          <w:szCs w:val="28"/>
        </w:rPr>
        <w:t xml:space="preserve"> </w:t>
      </w:r>
      <w:proofErr w:type="spellStart"/>
      <w:r w:rsidRPr="004F7D55">
        <w:rPr>
          <w:rStyle w:val="rvts8"/>
          <w:color w:val="000000"/>
          <w:sz w:val="28"/>
          <w:szCs w:val="28"/>
        </w:rPr>
        <w:t>громади</w:t>
      </w:r>
      <w:proofErr w:type="spellEnd"/>
      <w:r w:rsidRPr="004F7D55">
        <w:rPr>
          <w:rStyle w:val="rvts8"/>
          <w:color w:val="000000"/>
          <w:sz w:val="28"/>
          <w:szCs w:val="28"/>
        </w:rPr>
        <w:t xml:space="preserve"> за І квартал 2025 року подати на </w:t>
      </w:r>
      <w:proofErr w:type="spellStart"/>
      <w:r w:rsidRPr="004F7D55">
        <w:rPr>
          <w:rStyle w:val="rvts8"/>
          <w:color w:val="000000"/>
          <w:sz w:val="28"/>
          <w:szCs w:val="28"/>
        </w:rPr>
        <w:t>розгляд</w:t>
      </w:r>
      <w:proofErr w:type="spellEnd"/>
      <w:r w:rsidRPr="004F7D55">
        <w:rPr>
          <w:rStyle w:val="rvts8"/>
          <w:color w:val="000000"/>
          <w:sz w:val="28"/>
          <w:szCs w:val="28"/>
        </w:rPr>
        <w:t xml:space="preserve"> </w:t>
      </w:r>
      <w:proofErr w:type="spellStart"/>
      <w:r w:rsidRPr="004F7D55">
        <w:rPr>
          <w:rStyle w:val="rvts8"/>
          <w:color w:val="000000"/>
          <w:sz w:val="28"/>
          <w:szCs w:val="28"/>
        </w:rPr>
        <w:t>міської</w:t>
      </w:r>
      <w:proofErr w:type="spellEnd"/>
      <w:r w:rsidRPr="004F7D55">
        <w:rPr>
          <w:rStyle w:val="rvts8"/>
          <w:color w:val="000000"/>
          <w:sz w:val="28"/>
          <w:szCs w:val="28"/>
        </w:rPr>
        <w:t xml:space="preserve"> ради.</w:t>
      </w:r>
    </w:p>
    <w:p w:rsidR="004F7D55" w:rsidRPr="004F7D55" w:rsidRDefault="004F7D55" w:rsidP="004F7D55">
      <w:pPr>
        <w:ind w:firstLine="708"/>
        <w:jc w:val="both"/>
        <w:rPr>
          <w:rStyle w:val="rvts8"/>
          <w:rFonts w:ascii="Times New Roman" w:hAnsi="Times New Roman"/>
          <w:sz w:val="28"/>
          <w:szCs w:val="28"/>
        </w:rPr>
      </w:pPr>
    </w:p>
    <w:p w:rsidR="004F7D55" w:rsidRPr="004F7D55" w:rsidRDefault="004F7D55" w:rsidP="004F7D55">
      <w:pPr>
        <w:ind w:firstLine="708"/>
        <w:jc w:val="both"/>
        <w:rPr>
          <w:rFonts w:ascii="Times New Roman" w:hAnsi="Times New Roman"/>
        </w:rPr>
      </w:pPr>
      <w:r w:rsidRPr="004F7D55">
        <w:rPr>
          <w:rStyle w:val="rvts8"/>
          <w:rFonts w:ascii="Times New Roman" w:hAnsi="Times New Roman"/>
          <w:color w:val="000000"/>
          <w:sz w:val="28"/>
          <w:szCs w:val="28"/>
        </w:rPr>
        <w:t xml:space="preserve">3. </w:t>
      </w:r>
      <w:r w:rsidRPr="004F7D55">
        <w:rPr>
          <w:rFonts w:ascii="Times New Roman" w:hAnsi="Times New Roman"/>
          <w:sz w:val="28"/>
          <w:szCs w:val="28"/>
        </w:rPr>
        <w:t>Контроль за виконанням цього рішення покласти на заступників міського голови з питань діяльності виконавчих органів міської ради.</w:t>
      </w:r>
    </w:p>
    <w:p w:rsidR="004F7D55" w:rsidRPr="004F7D55" w:rsidRDefault="004F7D55" w:rsidP="004F7D55">
      <w:pPr>
        <w:jc w:val="both"/>
        <w:rPr>
          <w:rFonts w:ascii="Times New Roman" w:hAnsi="Times New Roman"/>
          <w:sz w:val="28"/>
          <w:szCs w:val="28"/>
        </w:rPr>
      </w:pPr>
    </w:p>
    <w:p w:rsidR="004F7D55" w:rsidRPr="004F7D55" w:rsidRDefault="004F7D55" w:rsidP="004F7D55">
      <w:pPr>
        <w:jc w:val="both"/>
        <w:rPr>
          <w:rFonts w:ascii="Times New Roman" w:hAnsi="Times New Roman"/>
          <w:sz w:val="28"/>
          <w:szCs w:val="28"/>
        </w:rPr>
      </w:pPr>
    </w:p>
    <w:p w:rsidR="00627C48" w:rsidRPr="004F7D55" w:rsidRDefault="004F7D55" w:rsidP="004F7D55">
      <w:pPr>
        <w:rPr>
          <w:rFonts w:ascii="Times New Roman" w:hAnsi="Times New Roman"/>
        </w:rPr>
      </w:pPr>
      <w:r w:rsidRPr="004F7D55">
        <w:rPr>
          <w:rFonts w:ascii="Times New Roman" w:hAnsi="Times New Roman"/>
          <w:sz w:val="28"/>
          <w:szCs w:val="28"/>
        </w:rPr>
        <w:t xml:space="preserve">Міський голова                              </w:t>
      </w:r>
      <w:r w:rsidRPr="004F7D55">
        <w:rPr>
          <w:rFonts w:ascii="Times New Roman" w:hAnsi="Times New Roman"/>
          <w:sz w:val="28"/>
          <w:szCs w:val="28"/>
        </w:rPr>
        <w:tab/>
      </w:r>
      <w:r w:rsidRPr="004F7D55">
        <w:rPr>
          <w:rFonts w:ascii="Times New Roman" w:hAnsi="Times New Roman"/>
          <w:sz w:val="28"/>
          <w:szCs w:val="28"/>
        </w:rPr>
        <w:tab/>
      </w:r>
      <w:r w:rsidRPr="004F7D55">
        <w:rPr>
          <w:rFonts w:ascii="Times New Roman" w:hAnsi="Times New Roman"/>
          <w:sz w:val="28"/>
          <w:szCs w:val="28"/>
        </w:rPr>
        <w:tab/>
      </w:r>
      <w:r w:rsidRPr="004F7D55">
        <w:rPr>
          <w:rFonts w:ascii="Times New Roman" w:hAnsi="Times New Roman"/>
          <w:sz w:val="28"/>
          <w:szCs w:val="28"/>
        </w:rPr>
        <w:tab/>
        <w:t xml:space="preserve">                 Андрій НАЙДА</w:t>
      </w:r>
    </w:p>
    <w:sectPr w:rsidR="00627C48" w:rsidRPr="004F7D55" w:rsidSect="00556D3B">
      <w:pgSz w:w="11906" w:h="16838"/>
      <w:pgMar w:top="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5"/>
    <w:rsid w:val="004F7D55"/>
    <w:rsid w:val="00556D3B"/>
    <w:rsid w:val="005A0FB5"/>
    <w:rsid w:val="00627C48"/>
    <w:rsid w:val="00D67F44"/>
    <w:rsid w:val="00ED75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1A4372"/>
  <w15:chartTrackingRefBased/>
  <w15:docId w15:val="{203E1C2C-66E7-4988-9F66-5C2E2A2F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D3B"/>
    <w:pPr>
      <w:spacing w:after="0" w:line="240" w:lineRule="auto"/>
    </w:pPr>
    <w:rPr>
      <w:rFonts w:ascii="Tahoma" w:eastAsia="Times New Roman" w:hAnsi="Tahoma" w:cs="Times New Roman"/>
      <w:lang w:eastAsia="ru-RU"/>
    </w:rPr>
  </w:style>
  <w:style w:type="paragraph" w:styleId="3">
    <w:name w:val="heading 3"/>
    <w:basedOn w:val="a"/>
    <w:next w:val="a"/>
    <w:link w:val="30"/>
    <w:qFormat/>
    <w:rsid w:val="00556D3B"/>
    <w:pPr>
      <w:keepNext/>
      <w:widowControl w:val="0"/>
      <w:adjustRightInd w:val="0"/>
      <w:spacing w:line="360" w:lineRule="atLeast"/>
      <w:jc w:val="both"/>
      <w:outlineLvl w:val="2"/>
    </w:pPr>
    <w:rPr>
      <w:rFonts w:ascii="Times New Roman" w:hAnsi="Times New Roman"/>
      <w:b/>
      <w:bCs/>
      <w:sz w:val="28"/>
      <w:szCs w:val="24"/>
    </w:rPr>
  </w:style>
  <w:style w:type="paragraph" w:styleId="4">
    <w:name w:val="heading 4"/>
    <w:basedOn w:val="a"/>
    <w:next w:val="a"/>
    <w:link w:val="40"/>
    <w:qFormat/>
    <w:rsid w:val="00556D3B"/>
    <w:pPr>
      <w:keepNext/>
      <w:widowControl w:val="0"/>
      <w:adjustRightInd w:val="0"/>
      <w:spacing w:before="240" w:after="60" w:line="360" w:lineRule="atLeast"/>
      <w:jc w:val="both"/>
      <w:outlineLvl w:val="3"/>
    </w:pPr>
    <w:rPr>
      <w:rFonts w:ascii="Times New Roman" w:hAnsi="Times New Roman"/>
      <w:b/>
      <w:bCs/>
      <w:sz w:val="28"/>
      <w:szCs w:val="28"/>
    </w:rPr>
  </w:style>
  <w:style w:type="paragraph" w:styleId="5">
    <w:name w:val="heading 5"/>
    <w:basedOn w:val="a"/>
    <w:next w:val="a"/>
    <w:link w:val="50"/>
    <w:qFormat/>
    <w:rsid w:val="00556D3B"/>
    <w:pPr>
      <w:widowControl w:val="0"/>
      <w:adjustRightInd w:val="0"/>
      <w:spacing w:before="240" w:after="60" w:line="360" w:lineRule="atLeast"/>
      <w:jc w:val="both"/>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56D3B"/>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556D3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56D3B"/>
    <w:rPr>
      <w:rFonts w:ascii="Times New Roman" w:eastAsia="Times New Roman" w:hAnsi="Times New Roman" w:cs="Times New Roman"/>
      <w:b/>
      <w:bCs/>
      <w:i/>
      <w:iCs/>
      <w:sz w:val="26"/>
      <w:szCs w:val="26"/>
      <w:lang w:eastAsia="ru-RU"/>
    </w:rPr>
  </w:style>
  <w:style w:type="paragraph" w:styleId="a3">
    <w:name w:val="Subtitle"/>
    <w:basedOn w:val="a"/>
    <w:link w:val="a4"/>
    <w:qFormat/>
    <w:rsid w:val="00556D3B"/>
    <w:pPr>
      <w:jc w:val="center"/>
    </w:pPr>
    <w:rPr>
      <w:rFonts w:ascii="Courier New" w:hAnsi="Courier New"/>
      <w:b/>
      <w:sz w:val="44"/>
    </w:rPr>
  </w:style>
  <w:style w:type="character" w:customStyle="1" w:styleId="a4">
    <w:name w:val="Подзаголовок Знак"/>
    <w:basedOn w:val="a0"/>
    <w:link w:val="a3"/>
    <w:rsid w:val="00556D3B"/>
    <w:rPr>
      <w:rFonts w:ascii="Courier New" w:eastAsia="Times New Roman" w:hAnsi="Courier New" w:cs="Times New Roman"/>
      <w:b/>
      <w:sz w:val="44"/>
      <w:lang w:eastAsia="ru-RU"/>
    </w:rPr>
  </w:style>
  <w:style w:type="paragraph" w:styleId="a5">
    <w:name w:val="List"/>
    <w:basedOn w:val="a"/>
    <w:rsid w:val="00556D3B"/>
    <w:pPr>
      <w:widowControl w:val="0"/>
      <w:adjustRightInd w:val="0"/>
      <w:spacing w:line="360" w:lineRule="atLeast"/>
      <w:ind w:left="283" w:hanging="283"/>
      <w:jc w:val="both"/>
    </w:pPr>
    <w:rPr>
      <w:rFonts w:ascii="Times New Roman" w:hAnsi="Times New Roman"/>
      <w:sz w:val="24"/>
      <w:szCs w:val="24"/>
      <w:lang w:val="ru-RU"/>
    </w:rPr>
  </w:style>
  <w:style w:type="paragraph" w:customStyle="1" w:styleId="rvps28">
    <w:name w:val="rvps28"/>
    <w:basedOn w:val="a"/>
    <w:rsid w:val="004F7D55"/>
    <w:pPr>
      <w:spacing w:before="100" w:beforeAutospacing="1" w:after="100" w:afterAutospacing="1"/>
    </w:pPr>
    <w:rPr>
      <w:rFonts w:ascii="Times New Roman" w:hAnsi="Times New Roman"/>
      <w:sz w:val="24"/>
      <w:szCs w:val="24"/>
      <w:lang w:val="ru-RU"/>
    </w:rPr>
  </w:style>
  <w:style w:type="paragraph" w:customStyle="1" w:styleId="rvps30">
    <w:name w:val="rvps30"/>
    <w:basedOn w:val="a"/>
    <w:rsid w:val="004F7D55"/>
    <w:pPr>
      <w:spacing w:before="100" w:beforeAutospacing="1" w:after="100" w:afterAutospacing="1"/>
    </w:pPr>
    <w:rPr>
      <w:rFonts w:ascii="Times New Roman" w:hAnsi="Times New Roman"/>
      <w:sz w:val="24"/>
      <w:szCs w:val="24"/>
      <w:lang w:val="ru-RU"/>
    </w:rPr>
  </w:style>
  <w:style w:type="paragraph" w:customStyle="1" w:styleId="rvps32">
    <w:name w:val="rvps32"/>
    <w:basedOn w:val="a"/>
    <w:rsid w:val="004F7D55"/>
    <w:pPr>
      <w:spacing w:before="100" w:beforeAutospacing="1" w:after="100" w:afterAutospacing="1"/>
    </w:pPr>
    <w:rPr>
      <w:rFonts w:ascii="Times New Roman" w:hAnsi="Times New Roman"/>
      <w:sz w:val="24"/>
      <w:szCs w:val="24"/>
      <w:lang w:val="ru-RU"/>
    </w:rPr>
  </w:style>
  <w:style w:type="character" w:customStyle="1" w:styleId="rvts8">
    <w:name w:val="rvts8"/>
    <w:rsid w:val="004F7D55"/>
  </w:style>
  <w:style w:type="character" w:customStyle="1" w:styleId="rvts15">
    <w:name w:val="rvts15"/>
    <w:rsid w:val="004F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9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3136</Words>
  <Characters>1788</Characters>
  <Application>Microsoft Office Word</Application>
  <DocSecurity>0</DocSecurity>
  <Lines>14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2025-05-06T12:39:00Z</dcterms:created>
  <dcterms:modified xsi:type="dcterms:W3CDTF">2025-05-06T13:39:00Z</dcterms:modified>
</cp:coreProperties>
</file>