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28" w:rsidRDefault="007C0C28"/>
    <w:p w:rsidR="007C0C28" w:rsidRDefault="007C0C2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0C28">
        <w:rPr>
          <w:sz w:val="28"/>
          <w:szCs w:val="28"/>
        </w:rPr>
        <w:t>Додаток 6</w:t>
      </w:r>
    </w:p>
    <w:p w:rsidR="007C0C28" w:rsidRPr="007C0C28" w:rsidRDefault="007C0C28">
      <w:pPr>
        <w:rPr>
          <w:sz w:val="28"/>
          <w:szCs w:val="28"/>
        </w:rPr>
      </w:pPr>
    </w:p>
    <w:tbl>
      <w:tblPr>
        <w:tblW w:w="9814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7C0C28" w:rsidRPr="009A1BF1" w:rsidTr="007C0C28">
        <w:trPr>
          <w:trHeight w:val="454"/>
        </w:trPr>
        <w:tc>
          <w:tcPr>
            <w:tcW w:w="9814" w:type="dxa"/>
            <w:vAlign w:val="center"/>
          </w:tcPr>
          <w:p w:rsidR="007C0C28" w:rsidRDefault="007C0C28" w:rsidP="00D02D03">
            <w:pPr>
              <w:spacing w:line="276" w:lineRule="auto"/>
              <w:ind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Соціально-економічний </w:t>
            </w:r>
            <w:r w:rsidRPr="009A1BF1">
              <w:rPr>
                <w:b/>
                <w:sz w:val="28"/>
                <w:szCs w:val="28"/>
              </w:rPr>
              <w:t>розвиток сіл території, яких входять до Калуської міської територіальної громади</w:t>
            </w:r>
          </w:p>
          <w:p w:rsidR="007C0C28" w:rsidRPr="009A1BF1" w:rsidRDefault="007C0C28" w:rsidP="00D02D03">
            <w:pPr>
              <w:spacing w:line="276" w:lineRule="auto"/>
              <w:ind w:right="-57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C0C28" w:rsidRDefault="007C0C28" w:rsidP="007C0C28">
      <w:pPr>
        <w:ind w:firstLine="567"/>
        <w:jc w:val="both"/>
        <w:rPr>
          <w:sz w:val="28"/>
          <w:szCs w:val="28"/>
        </w:rPr>
      </w:pPr>
      <w:r w:rsidRPr="009A1BF1">
        <w:rPr>
          <w:sz w:val="28"/>
          <w:szCs w:val="28"/>
        </w:rPr>
        <w:t xml:space="preserve">В Боднарівському старостинському окрузі в </w:t>
      </w:r>
      <w:r>
        <w:rPr>
          <w:sz w:val="28"/>
          <w:szCs w:val="28"/>
        </w:rPr>
        <w:t>І</w:t>
      </w:r>
      <w:r w:rsidRPr="009A1BF1">
        <w:rPr>
          <w:sz w:val="28"/>
          <w:szCs w:val="28"/>
        </w:rPr>
        <w:t xml:space="preserve"> ква</w:t>
      </w:r>
      <w:r>
        <w:rPr>
          <w:sz w:val="28"/>
          <w:szCs w:val="28"/>
        </w:rPr>
        <w:t>рталі 2021 року проведено ряд робіт, а саме: обстеження та складено відповідний акт щодо технічних проблем підвісного моста в с.Боднарів; у рамках програми «Теплий кредит» здійснено заходи з теплоізоляції двох багатоквартирних будинків по вул. С. Бандери та освоєно 550 тис. грн.; проведено ремонт огорожі біля пам’ятника Борцям за волю України; відремонтовано під’їзд до стадіону; організовано надання послуг з вивозу відходів; ліквідовано стихійне сміттєзвалище біля кладовища; проведено обстеження ФАПу щодо можливої реконструкції під розміщення амбулаторії; проведено заходи щодо організації гарячого харчування в молодших класах Боднарівського ліцею; запроваджено пільговий автобусний маршрут Калуш-Боднарів.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Ріп’янському старостинському окрузі основними проблемами залишились ремонт дороги «Вістова-Яворівка», будівництво моста через р.Луква в с. Мислів та укріплення берегів р. Луква, яка проходить територією округу, де першочерговим стоїть питання підтоплення житлових будинків.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Вістівському старостинському окрузі основним завданням є забезпечення будівництва водопроводу в с.Вістова (2 і 3 черги) і в с. Бабин Зарічний. В І кварталі 2021 року роботи не проводилсь.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Мостищинському старостинському окрузі проведено: підсипку 300 м дороги по автобусному маршруту; освітлення кінцевої зупинки автобуса; заміну ламп вуличного освітлення; поглиблення 300 м рову для відведення дощових вод, що прориваються з очисних споруд.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Кропивницькому старостинському окрузі згідно рішення Івано-Франківської ОДА від 19.02.2021р. №70-47/2021 «Щодо фінансування природоохоронних заходів з обласного фонду охорони навколишнього середовища за рахунок планових надходжень у 2021 році» було виділено 420 тис. грн. на моніторинг просідання землі в с. Кропивник. 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Сівка-Калуському старостинському окрузі було проведено: захоронення двох стихійних сміттєзвалищ; облаштування території біля могили Січових Стрільців; фарбування цементної загорожі вздовж старого цвинтару; толоку по збору сміття вздовж річки Сівка і водостічних окопах.</w:t>
      </w:r>
    </w:p>
    <w:p w:rsidR="007C0C28" w:rsidRDefault="007C0C28" w:rsidP="007C0C28">
      <w:pPr>
        <w:ind w:firstLine="567"/>
        <w:jc w:val="both"/>
        <w:rPr>
          <w:sz w:val="28"/>
          <w:szCs w:val="28"/>
        </w:rPr>
      </w:pPr>
      <w:r w:rsidRPr="00AA5D5A">
        <w:rPr>
          <w:sz w:val="28"/>
          <w:szCs w:val="28"/>
        </w:rPr>
        <w:t>В Студінс</w:t>
      </w:r>
      <w:r>
        <w:rPr>
          <w:sz w:val="28"/>
          <w:szCs w:val="28"/>
        </w:rPr>
        <w:t xml:space="preserve">ькому старостинському окрузі </w:t>
      </w:r>
      <w:r w:rsidRPr="00AA5D5A">
        <w:rPr>
          <w:sz w:val="28"/>
          <w:szCs w:val="28"/>
        </w:rPr>
        <w:t>забезпечено вивіз побутового сміття від населення в селах Студінка та Середній Бабин, проведено ремонтні роботи по заміні ламп мережі вуличного освітлення, вирішено питання фінансування сільських футбольних клубів</w:t>
      </w:r>
      <w:r>
        <w:rPr>
          <w:sz w:val="28"/>
          <w:szCs w:val="28"/>
        </w:rPr>
        <w:t>, введено додаткові рейси у вечірній час та неділю на</w:t>
      </w:r>
      <w:r w:rsidRPr="00AA5D5A">
        <w:rPr>
          <w:sz w:val="28"/>
          <w:szCs w:val="28"/>
        </w:rPr>
        <w:t xml:space="preserve"> маршрутах «Калуш- Студінка» та «Калуш – Середній Бабин»</w:t>
      </w:r>
      <w:r>
        <w:rPr>
          <w:sz w:val="28"/>
          <w:szCs w:val="28"/>
        </w:rPr>
        <w:t>.</w:t>
      </w:r>
    </w:p>
    <w:p w:rsidR="007C0C28" w:rsidRPr="009A1BF1" w:rsidRDefault="007C0C28" w:rsidP="007C0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Пійлівському і Тужилівському старостинських округах із запланованих робіт на 2021 рік в І кварталі 2021 роботи не здійснювались, кошти з бюджету Калуської міської ТГ не виділялись.</w:t>
      </w:r>
    </w:p>
    <w:p w:rsidR="00A36040" w:rsidRDefault="00A36040"/>
    <w:sectPr w:rsidR="00A36040" w:rsidSect="00866636">
      <w:headerReference w:type="even" r:id="rId4"/>
      <w:headerReference w:type="default" r:id="rId5"/>
      <w:pgSz w:w="11907" w:h="16840" w:code="9"/>
      <w:pgMar w:top="850" w:right="850" w:bottom="850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F9" w:rsidRDefault="007C0C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A07F9" w:rsidRDefault="007C0C2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F9" w:rsidRDefault="007C0C28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23</w:t>
    </w:r>
    <w:r>
      <w:rPr>
        <w:rStyle w:val="a5"/>
        <w:sz w:val="24"/>
      </w:rPr>
      <w:fldChar w:fldCharType="end"/>
    </w:r>
  </w:p>
  <w:p w:rsidR="008A07F9" w:rsidRDefault="007C0C2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81"/>
    <w:rsid w:val="00787381"/>
    <w:rsid w:val="007C0C28"/>
    <w:rsid w:val="00A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586"/>
  <w15:chartTrackingRefBased/>
  <w15:docId w15:val="{91AE5B3A-1D0D-479B-91F3-1091C32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C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C0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C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2021-05-21T11:45:00Z</dcterms:created>
  <dcterms:modified xsi:type="dcterms:W3CDTF">2021-05-21T11:47:00Z</dcterms:modified>
</cp:coreProperties>
</file>